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80EA" w14:textId="77777777" w:rsidR="00184D97" w:rsidRDefault="002A43A9" w:rsidP="00184D97">
      <w:pPr>
        <w:spacing w:after="0"/>
        <w:jc w:val="right"/>
      </w:pPr>
      <w:r>
        <w:t>September 6, 2023</w:t>
      </w:r>
    </w:p>
    <w:p w14:paraId="51953E1F" w14:textId="1744D343" w:rsidR="00F62C9E" w:rsidRDefault="00834E1F" w:rsidP="00184D97">
      <w:pPr>
        <w:spacing w:after="0"/>
      </w:pPr>
      <w:r>
        <w:t>Data review</w:t>
      </w:r>
      <w:r w:rsidR="0081217E">
        <w:t xml:space="preserve"> FY 23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328"/>
        <w:gridCol w:w="1547"/>
        <w:gridCol w:w="1620"/>
        <w:gridCol w:w="1350"/>
        <w:gridCol w:w="7290"/>
      </w:tblGrid>
      <w:tr w:rsidR="00C8656E" w14:paraId="0FD7ED6A" w14:textId="5C5BDD29" w:rsidTr="00837B92">
        <w:tc>
          <w:tcPr>
            <w:tcW w:w="1328" w:type="dxa"/>
            <w:shd w:val="clear" w:color="auto" w:fill="F2F2F2" w:themeFill="background1" w:themeFillShade="F2"/>
          </w:tcPr>
          <w:p w14:paraId="605CEF9D" w14:textId="3FCFD555" w:rsidR="00C8656E" w:rsidRDefault="00C8656E">
            <w:r>
              <w:t>County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686156B7" w14:textId="4FC0F88B" w:rsidR="00C8656E" w:rsidRDefault="00C8656E">
            <w:r>
              <w:t xml:space="preserve">Case-Weight </w:t>
            </w:r>
            <w:r w:rsidR="00216F46">
              <w:t>yearly average</w:t>
            </w:r>
            <w:r w:rsidR="00184D97">
              <w:t xml:space="preserve"> </w:t>
            </w:r>
            <w:r w:rsidR="008D238E">
              <w:t>¼</w:t>
            </w:r>
            <w:r w:rsidR="00A43638">
              <w:t>l</w:t>
            </w:r>
            <w:r w:rsidR="00184D97">
              <w:t>y reports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9488DE8" w14:textId="5F67040D" w:rsidR="00C8656E" w:rsidRDefault="00C8656E">
            <w:r>
              <w:t xml:space="preserve">Families/clients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3C40AE2" w14:textId="3A7E736A" w:rsidR="00C8656E" w:rsidRDefault="00B22112">
            <w:r>
              <w:t>H</w:t>
            </w:r>
            <w:r w:rsidR="00AD0F3B">
              <w:t>ome visits</w:t>
            </w:r>
          </w:p>
          <w:p w14:paraId="0353788D" w14:textId="3C5966AC" w:rsidR="00F76D8E" w:rsidRDefault="00F76D8E"/>
        </w:tc>
        <w:tc>
          <w:tcPr>
            <w:tcW w:w="7290" w:type="dxa"/>
            <w:shd w:val="clear" w:color="auto" w:fill="F2F2F2" w:themeFill="background1" w:themeFillShade="F2"/>
          </w:tcPr>
          <w:p w14:paraId="6F78FEE8" w14:textId="585D6961" w:rsidR="00C8656E" w:rsidRDefault="00C8656E">
            <w:r>
              <w:t xml:space="preserve">Source – quarterly data reports – </w:t>
            </w:r>
            <w:r w:rsidR="00297453">
              <w:t xml:space="preserve">DAISEY data </w:t>
            </w:r>
            <w:r w:rsidR="00A075B0">
              <w:t xml:space="preserve">end of year </w:t>
            </w:r>
            <w:r w:rsidR="007D08BF">
              <w:t xml:space="preserve">&amp; </w:t>
            </w:r>
            <w:r>
              <w:t>contract language</w:t>
            </w:r>
          </w:p>
        </w:tc>
      </w:tr>
      <w:tr w:rsidR="00EC7BAC" w14:paraId="38F11496" w14:textId="7DF2931C" w:rsidTr="00837B92">
        <w:trPr>
          <w:trHeight w:val="350"/>
        </w:trPr>
        <w:tc>
          <w:tcPr>
            <w:tcW w:w="1328" w:type="dxa"/>
            <w:vMerge w:val="restart"/>
            <w:shd w:val="clear" w:color="auto" w:fill="F2F2F2" w:themeFill="background1" w:themeFillShade="F2"/>
          </w:tcPr>
          <w:p w14:paraId="51A7CAF5" w14:textId="27749C59" w:rsidR="00EC7BAC" w:rsidRDefault="00EC7BAC">
            <w:r>
              <w:t>Buena Vista</w:t>
            </w:r>
          </w:p>
        </w:tc>
        <w:tc>
          <w:tcPr>
            <w:tcW w:w="1547" w:type="dxa"/>
            <w:vMerge w:val="restart"/>
          </w:tcPr>
          <w:p w14:paraId="2D21FCBC" w14:textId="593A5E78" w:rsidR="00EC7BAC" w:rsidRDefault="00EC7BAC" w:rsidP="0081217E">
            <w:pPr>
              <w:jc w:val="center"/>
            </w:pPr>
            <w:r>
              <w:t>13.4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BE98913" w14:textId="4760E5CA" w:rsidR="00EC7BAC" w:rsidRDefault="00EC7BAC" w:rsidP="0081217E">
            <w:pPr>
              <w:jc w:val="center"/>
            </w:pPr>
            <w:r>
              <w:t>¼ report</w:t>
            </w:r>
            <w:r w:rsidR="0025223D">
              <w:t xml:space="preserve"> yearly average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59B571F" w14:textId="7752EF4A" w:rsidR="00EC7BAC" w:rsidRDefault="00D74C60" w:rsidP="00DE170D">
            <w:pPr>
              <w:jc w:val="center"/>
            </w:pPr>
            <w:r>
              <w:t>A</w:t>
            </w:r>
            <w:r w:rsidR="001928F9">
              <w:t>verage per 1/4</w:t>
            </w:r>
          </w:p>
        </w:tc>
        <w:tc>
          <w:tcPr>
            <w:tcW w:w="7290" w:type="dxa"/>
            <w:vMerge w:val="restart"/>
          </w:tcPr>
          <w:p w14:paraId="2D4A1C04" w14:textId="79286421" w:rsidR="00EC7BAC" w:rsidRDefault="000C49E0">
            <w:r>
              <w:t>Six</w:t>
            </w:r>
            <w:r w:rsidR="00EC7BAC">
              <w:t xml:space="preserve"> months out of </w:t>
            </w:r>
            <w:r w:rsidR="006049E3">
              <w:t>the year</w:t>
            </w:r>
            <w:r w:rsidR="00EC7BAC">
              <w:t xml:space="preserve"> </w:t>
            </w:r>
            <w:r w:rsidR="006E4D94">
              <w:t>had one (</w:t>
            </w:r>
            <w:r w:rsidR="00EC7BAC">
              <w:t>1</w:t>
            </w:r>
            <w:r w:rsidR="008F646F">
              <w:t>)</w:t>
            </w:r>
            <w:r w:rsidR="00EC7BAC">
              <w:t xml:space="preserve"> FSP. </w:t>
            </w:r>
            <w:r w:rsidR="006E4D94">
              <w:t>Two (</w:t>
            </w:r>
            <w:r w:rsidR="00EC7BAC">
              <w:t>2</w:t>
            </w:r>
            <w:r w:rsidR="006E4D94">
              <w:t>)</w:t>
            </w:r>
            <w:r w:rsidR="00EC7BAC">
              <w:t xml:space="preserve"> FSP</w:t>
            </w:r>
            <w:r w:rsidR="006E4D94">
              <w:t xml:space="preserve">’s during the year were </w:t>
            </w:r>
            <w:r w:rsidR="00EC7BAC">
              <w:t>in training</w:t>
            </w:r>
            <w:r w:rsidR="008F646F">
              <w:t xml:space="preserve"> mode</w:t>
            </w:r>
            <w:r w:rsidR="00EC7BAC">
              <w:t xml:space="preserve">. End of FY 23 </w:t>
            </w:r>
            <w:r w:rsidR="008F646F">
              <w:t>one (</w:t>
            </w:r>
            <w:r w:rsidR="00EC7BAC">
              <w:t>1</w:t>
            </w:r>
            <w:r w:rsidR="008F646F">
              <w:t>)</w:t>
            </w:r>
            <w:r w:rsidR="00EC7BAC">
              <w:t xml:space="preserve"> FSP part time dedicated to STEPS</w:t>
            </w:r>
            <w:r w:rsidR="002244EF">
              <w:t xml:space="preserve">, WIC the other time. </w:t>
            </w:r>
          </w:p>
          <w:p w14:paraId="279A6AE2" w14:textId="77777777" w:rsidR="00EC7BAC" w:rsidRDefault="00EC7BAC" w:rsidP="00345A09">
            <w:pPr>
              <w:rPr>
                <w:bCs/>
              </w:rPr>
            </w:pPr>
          </w:p>
          <w:p w14:paraId="67A2AD90" w14:textId="67557A96" w:rsidR="00EC7BAC" w:rsidRPr="00345A09" w:rsidRDefault="00EC7BAC" w:rsidP="00345A09">
            <w:pPr>
              <w:rPr>
                <w:bCs/>
              </w:rPr>
            </w:pPr>
            <w:r w:rsidRPr="00345A09">
              <w:rPr>
                <w:bCs/>
              </w:rPr>
              <w:t xml:space="preserve">Seek to employ direct service staff to provide a total of </w:t>
            </w:r>
            <w:r w:rsidRPr="00E47FAF">
              <w:rPr>
                <w:bCs/>
                <w:u w:val="single"/>
              </w:rPr>
              <w:t xml:space="preserve">56 </w:t>
            </w:r>
            <w:r w:rsidRPr="00345A09">
              <w:rPr>
                <w:bCs/>
              </w:rPr>
              <w:t xml:space="preserve">hours per week dedicated to Family STEPS services. </w:t>
            </w:r>
            <w:r>
              <w:rPr>
                <w:bCs/>
              </w:rPr>
              <w:t xml:space="preserve">Shall seek to maintain a planned family service capacity of </w:t>
            </w:r>
            <w:r w:rsidRPr="00E47FAF">
              <w:rPr>
                <w:bCs/>
                <w:u w:val="single"/>
              </w:rPr>
              <w:t>28</w:t>
            </w:r>
            <w:r>
              <w:rPr>
                <w:bCs/>
              </w:rPr>
              <w:t xml:space="preserve"> families the program will serve at any one time.</w:t>
            </w:r>
          </w:p>
          <w:p w14:paraId="4FA6C310" w14:textId="25DC28B7" w:rsidR="00EC7BAC" w:rsidRDefault="00EC7BAC">
            <w:pPr>
              <w:rPr>
                <w:bCs/>
              </w:rPr>
            </w:pPr>
            <w:r w:rsidRPr="00EF6052">
              <w:rPr>
                <w:bCs/>
              </w:rPr>
              <w:t>Family Support Professionals shall see</w:t>
            </w:r>
            <w:r>
              <w:rPr>
                <w:bCs/>
              </w:rPr>
              <w:t>k</w:t>
            </w:r>
            <w:r w:rsidRPr="00EF6052">
              <w:rPr>
                <w:bCs/>
              </w:rPr>
              <w:t xml:space="preserve"> to maintain an assigned family case weight based on Full Time and/or Part Time status.</w:t>
            </w:r>
          </w:p>
          <w:p w14:paraId="193C4A0A" w14:textId="0DAFC03E" w:rsidR="00EC7BAC" w:rsidRPr="004F2B28" w:rsidRDefault="00EC7BAC">
            <w:pPr>
              <w:rPr>
                <w:rFonts w:ascii="Garamond" w:hAnsi="Garamond"/>
                <w:bCs/>
                <w:sz w:val="24"/>
                <w:szCs w:val="24"/>
              </w:rPr>
            </w:pPr>
            <w:bookmarkStart w:id="0" w:name="_Hlk135744417"/>
            <w:r w:rsidRPr="00BB52D7">
              <w:rPr>
                <w:rFonts w:ascii="Garamond" w:hAnsi="Garamond"/>
                <w:bCs/>
                <w:sz w:val="24"/>
                <w:szCs w:val="24"/>
              </w:rPr>
              <w:t xml:space="preserve">Shall seek to have a minimum number of </w:t>
            </w:r>
            <w:r w:rsidRPr="00BB52D7">
              <w:rPr>
                <w:rFonts w:ascii="Garamond" w:hAnsi="Garamond"/>
                <w:bCs/>
                <w:sz w:val="24"/>
                <w:szCs w:val="24"/>
                <w:u w:val="single"/>
              </w:rPr>
              <w:t>100</w:t>
            </w:r>
            <w:r w:rsidRPr="00BB52D7">
              <w:rPr>
                <w:rFonts w:ascii="Garamond" w:hAnsi="Garamond"/>
                <w:bCs/>
                <w:sz w:val="24"/>
                <w:szCs w:val="24"/>
              </w:rPr>
              <w:t xml:space="preserve"> home visits completed each quarter. </w:t>
            </w:r>
            <w:bookmarkEnd w:id="0"/>
          </w:p>
        </w:tc>
      </w:tr>
      <w:tr w:rsidR="00EC7BAC" w14:paraId="5D048142" w14:textId="77777777" w:rsidTr="00837B92">
        <w:trPr>
          <w:trHeight w:val="672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7E8D8179" w14:textId="77777777" w:rsidR="00EC7BAC" w:rsidRDefault="00EC7BAC"/>
        </w:tc>
        <w:tc>
          <w:tcPr>
            <w:tcW w:w="1547" w:type="dxa"/>
            <w:vMerge/>
          </w:tcPr>
          <w:p w14:paraId="15ACF832" w14:textId="77777777" w:rsidR="00EC7BAC" w:rsidRDefault="00EC7BAC" w:rsidP="0081217E">
            <w:pPr>
              <w:jc w:val="center"/>
            </w:pPr>
          </w:p>
        </w:tc>
        <w:tc>
          <w:tcPr>
            <w:tcW w:w="1620" w:type="dxa"/>
          </w:tcPr>
          <w:p w14:paraId="27BA45BF" w14:textId="2944C56E" w:rsidR="00EC7BAC" w:rsidRDefault="00EC7BAC" w:rsidP="0081217E">
            <w:pPr>
              <w:jc w:val="center"/>
            </w:pPr>
            <w:r>
              <w:t>11.6</w:t>
            </w:r>
          </w:p>
        </w:tc>
        <w:tc>
          <w:tcPr>
            <w:tcW w:w="1350" w:type="dxa"/>
          </w:tcPr>
          <w:p w14:paraId="301270FA" w14:textId="579FC0B4" w:rsidR="00EC7BAC" w:rsidRDefault="001928F9" w:rsidP="00DE170D">
            <w:pPr>
              <w:jc w:val="center"/>
            </w:pPr>
            <w:r>
              <w:t>77</w:t>
            </w:r>
          </w:p>
        </w:tc>
        <w:tc>
          <w:tcPr>
            <w:tcW w:w="7290" w:type="dxa"/>
            <w:vMerge/>
          </w:tcPr>
          <w:p w14:paraId="4E84F053" w14:textId="77777777" w:rsidR="00EC7BAC" w:rsidRDefault="00EC7BAC"/>
        </w:tc>
      </w:tr>
      <w:tr w:rsidR="00EC7BAC" w14:paraId="4EAFEE73" w14:textId="77777777" w:rsidTr="00837B92">
        <w:trPr>
          <w:trHeight w:val="251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1033C129" w14:textId="77777777" w:rsidR="00EC7BAC" w:rsidRDefault="00EC7BAC"/>
        </w:tc>
        <w:tc>
          <w:tcPr>
            <w:tcW w:w="1547" w:type="dxa"/>
            <w:vMerge/>
          </w:tcPr>
          <w:p w14:paraId="2C85F2F9" w14:textId="77777777" w:rsidR="00EC7BAC" w:rsidRDefault="00EC7BAC" w:rsidP="0081217E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9C71353" w14:textId="009DC0C8" w:rsidR="00EC7BAC" w:rsidRDefault="00EC7BAC" w:rsidP="0081217E">
            <w:pPr>
              <w:jc w:val="center"/>
            </w:pPr>
            <w:r>
              <w:t>DAISEY Data</w:t>
            </w:r>
            <w:r w:rsidR="00AF1809">
              <w:t xml:space="preserve"> end of year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553D1AF6" w14:textId="67FA88B7" w:rsidR="00EC7BAC" w:rsidRDefault="001928F9" w:rsidP="00DE170D">
            <w:pPr>
              <w:jc w:val="center"/>
            </w:pPr>
            <w:r>
              <w:t>DAISEY Data</w:t>
            </w:r>
            <w:r w:rsidR="00AF1809">
              <w:t xml:space="preserve"> end of year</w:t>
            </w:r>
          </w:p>
        </w:tc>
        <w:tc>
          <w:tcPr>
            <w:tcW w:w="7290" w:type="dxa"/>
            <w:vMerge/>
          </w:tcPr>
          <w:p w14:paraId="244037F8" w14:textId="77777777" w:rsidR="00EC7BAC" w:rsidRDefault="00EC7BAC"/>
        </w:tc>
      </w:tr>
      <w:tr w:rsidR="00EC7BAC" w14:paraId="0F142A78" w14:textId="77777777" w:rsidTr="00837B92">
        <w:trPr>
          <w:trHeight w:val="672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0B43E945" w14:textId="77777777" w:rsidR="00EC7BAC" w:rsidRDefault="00EC7BAC"/>
        </w:tc>
        <w:tc>
          <w:tcPr>
            <w:tcW w:w="1547" w:type="dxa"/>
            <w:vMerge/>
          </w:tcPr>
          <w:p w14:paraId="4758ABF2" w14:textId="77777777" w:rsidR="00EC7BAC" w:rsidRDefault="00EC7BAC" w:rsidP="0081217E">
            <w:pPr>
              <w:jc w:val="center"/>
            </w:pPr>
          </w:p>
        </w:tc>
        <w:tc>
          <w:tcPr>
            <w:tcW w:w="1620" w:type="dxa"/>
          </w:tcPr>
          <w:p w14:paraId="2FC93F60" w14:textId="07310611" w:rsidR="00EC7BAC" w:rsidRDefault="00EC7BAC" w:rsidP="0081217E">
            <w:pPr>
              <w:jc w:val="center"/>
            </w:pPr>
            <w:r>
              <w:t>17</w:t>
            </w:r>
          </w:p>
        </w:tc>
        <w:tc>
          <w:tcPr>
            <w:tcW w:w="1350" w:type="dxa"/>
          </w:tcPr>
          <w:p w14:paraId="56912542" w14:textId="4B88A6BC" w:rsidR="00EC7BAC" w:rsidRDefault="00CF550B" w:rsidP="00DE170D">
            <w:pPr>
              <w:jc w:val="center"/>
            </w:pPr>
            <w:r>
              <w:t>308</w:t>
            </w:r>
          </w:p>
        </w:tc>
        <w:tc>
          <w:tcPr>
            <w:tcW w:w="7290" w:type="dxa"/>
            <w:vMerge/>
          </w:tcPr>
          <w:p w14:paraId="194F3796" w14:textId="77777777" w:rsidR="00EC7BAC" w:rsidRDefault="00EC7BAC"/>
        </w:tc>
      </w:tr>
      <w:tr w:rsidR="0025223D" w14:paraId="47AE0C23" w14:textId="23CE74B1" w:rsidTr="00837B92">
        <w:trPr>
          <w:trHeight w:val="606"/>
        </w:trPr>
        <w:tc>
          <w:tcPr>
            <w:tcW w:w="1328" w:type="dxa"/>
            <w:vMerge w:val="restart"/>
            <w:shd w:val="clear" w:color="auto" w:fill="F2F2F2" w:themeFill="background1" w:themeFillShade="F2"/>
          </w:tcPr>
          <w:p w14:paraId="07591C4A" w14:textId="7AB7A16A" w:rsidR="0025223D" w:rsidRDefault="0025223D">
            <w:r>
              <w:t>Crawford</w:t>
            </w:r>
          </w:p>
        </w:tc>
        <w:tc>
          <w:tcPr>
            <w:tcW w:w="1547" w:type="dxa"/>
            <w:vMerge w:val="restart"/>
          </w:tcPr>
          <w:p w14:paraId="009F09FE" w14:textId="33BE0B8A" w:rsidR="0025223D" w:rsidRDefault="0025223D" w:rsidP="0081217E">
            <w:pPr>
              <w:jc w:val="center"/>
            </w:pPr>
            <w:r>
              <w:t>14.3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04F1735" w14:textId="6D3A865F" w:rsidR="0025223D" w:rsidRDefault="0025223D" w:rsidP="0081217E">
            <w:pPr>
              <w:jc w:val="center"/>
            </w:pPr>
            <w:r>
              <w:t>¼ report yearly average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61B050F" w14:textId="2D7887C3" w:rsidR="0025223D" w:rsidRDefault="00142E9F" w:rsidP="00DE170D">
            <w:pPr>
              <w:jc w:val="center"/>
            </w:pPr>
            <w:r>
              <w:t>A</w:t>
            </w:r>
            <w:r w:rsidR="00E65EF5">
              <w:t>verage per 1/4</w:t>
            </w:r>
          </w:p>
        </w:tc>
        <w:tc>
          <w:tcPr>
            <w:tcW w:w="7290" w:type="dxa"/>
            <w:vMerge w:val="restart"/>
          </w:tcPr>
          <w:p w14:paraId="394A05B1" w14:textId="7CC8EC2E" w:rsidR="0025223D" w:rsidRDefault="0025223D">
            <w:r>
              <w:t xml:space="preserve">Average of </w:t>
            </w:r>
            <w:r w:rsidR="008F646F">
              <w:t>two (</w:t>
            </w:r>
            <w:r>
              <w:t>2</w:t>
            </w:r>
            <w:r w:rsidR="008F646F">
              <w:t>)</w:t>
            </w:r>
            <w:r>
              <w:t xml:space="preserve"> FSP over FY 23. </w:t>
            </w:r>
            <w:r w:rsidR="008F646F">
              <w:t>One (</w:t>
            </w:r>
            <w:r>
              <w:t>1</w:t>
            </w:r>
            <w:r w:rsidR="008F646F">
              <w:t>)</w:t>
            </w:r>
            <w:r>
              <w:t xml:space="preserve"> FSP in training. </w:t>
            </w:r>
            <w:r w:rsidR="00EE48EA">
              <w:t xml:space="preserve">At the end of the year one (1) FSP employed. </w:t>
            </w:r>
            <w:r>
              <w:t xml:space="preserve">Staff are pulled for other duties within the agency, hours per week dedicated to STEPS not in the contract. </w:t>
            </w:r>
            <w:r w:rsidR="008A6675">
              <w:t xml:space="preserve">Baby Boutique, </w:t>
            </w:r>
            <w:r w:rsidR="009A2DA1">
              <w:t xml:space="preserve">Group training with Prevent Child Abuse Iowa funds. </w:t>
            </w:r>
            <w:r w:rsidR="00142E9F">
              <w:t>Also,</w:t>
            </w:r>
            <w:r w:rsidR="009A2DA1">
              <w:t xml:space="preserve"> on boards &amp; committees. </w:t>
            </w:r>
          </w:p>
          <w:p w14:paraId="0D84FCD8" w14:textId="77777777" w:rsidR="0025223D" w:rsidRDefault="0025223D"/>
          <w:p w14:paraId="0377CE6F" w14:textId="554CC25A" w:rsidR="0025223D" w:rsidRPr="00775459" w:rsidRDefault="0025223D" w:rsidP="00775459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75459">
              <w:rPr>
                <w:rFonts w:ascii="Garamond" w:hAnsi="Garamond"/>
                <w:bCs/>
                <w:sz w:val="24"/>
                <w:szCs w:val="24"/>
              </w:rPr>
              <w:t xml:space="preserve">Shall seek to maintain a planned family service capacity of </w:t>
            </w:r>
            <w:r w:rsidRPr="0067348F">
              <w:rPr>
                <w:rFonts w:ascii="Garamond" w:hAnsi="Garamond"/>
                <w:bCs/>
                <w:sz w:val="24"/>
                <w:szCs w:val="24"/>
                <w:u w:val="single"/>
              </w:rPr>
              <w:t>58</w:t>
            </w:r>
            <w:r w:rsidRPr="00775459">
              <w:rPr>
                <w:rFonts w:ascii="Garamond" w:hAnsi="Garamond"/>
                <w:bCs/>
                <w:sz w:val="24"/>
                <w:szCs w:val="24"/>
              </w:rPr>
              <w:t xml:space="preserve"> families served throughout the year. </w:t>
            </w:r>
          </w:p>
          <w:p w14:paraId="6C6A5913" w14:textId="77777777" w:rsidR="0025223D" w:rsidRDefault="0025223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066FA">
              <w:rPr>
                <w:rFonts w:ascii="Garamond" w:hAnsi="Garamond"/>
                <w:bCs/>
                <w:sz w:val="24"/>
                <w:szCs w:val="24"/>
              </w:rPr>
              <w:t xml:space="preserve">Each Family Support Professional shall seek to maintain a family case weight based on full time or part time status. </w:t>
            </w:r>
          </w:p>
          <w:p w14:paraId="253A4677" w14:textId="21559230" w:rsidR="0025223D" w:rsidRPr="007066FA" w:rsidRDefault="0025223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6B3F4A">
              <w:rPr>
                <w:rFonts w:ascii="Garamond" w:hAnsi="Garamond"/>
                <w:bCs/>
                <w:sz w:val="24"/>
                <w:szCs w:val="24"/>
              </w:rPr>
              <w:t xml:space="preserve">Shall seek to have a minimum number of </w:t>
            </w:r>
            <w:r w:rsidRPr="006B3F4A">
              <w:rPr>
                <w:rFonts w:ascii="Garamond" w:hAnsi="Garamond"/>
                <w:bCs/>
                <w:sz w:val="24"/>
                <w:szCs w:val="24"/>
                <w:u w:val="single"/>
              </w:rPr>
              <w:t>140</w:t>
            </w:r>
            <w:r w:rsidRPr="006B3F4A">
              <w:rPr>
                <w:rFonts w:ascii="Garamond" w:hAnsi="Garamond"/>
                <w:bCs/>
                <w:sz w:val="24"/>
                <w:szCs w:val="24"/>
              </w:rPr>
              <w:t xml:space="preserve"> home visits will be completed each quarter. </w:t>
            </w:r>
          </w:p>
        </w:tc>
      </w:tr>
      <w:tr w:rsidR="0025223D" w14:paraId="50D37A0C" w14:textId="77777777" w:rsidTr="00837B92">
        <w:trPr>
          <w:trHeight w:val="606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5D2B59D2" w14:textId="77777777" w:rsidR="0025223D" w:rsidRDefault="0025223D"/>
        </w:tc>
        <w:tc>
          <w:tcPr>
            <w:tcW w:w="1547" w:type="dxa"/>
            <w:vMerge/>
          </w:tcPr>
          <w:p w14:paraId="6321B331" w14:textId="77777777" w:rsidR="0025223D" w:rsidRDefault="0025223D" w:rsidP="0081217E">
            <w:pPr>
              <w:jc w:val="center"/>
            </w:pPr>
          </w:p>
        </w:tc>
        <w:tc>
          <w:tcPr>
            <w:tcW w:w="1620" w:type="dxa"/>
          </w:tcPr>
          <w:p w14:paraId="1EE439D7" w14:textId="01D78944" w:rsidR="0025223D" w:rsidRDefault="0025223D" w:rsidP="0081217E">
            <w:pPr>
              <w:jc w:val="center"/>
            </w:pPr>
            <w:r>
              <w:t>13.8</w:t>
            </w:r>
          </w:p>
        </w:tc>
        <w:tc>
          <w:tcPr>
            <w:tcW w:w="1350" w:type="dxa"/>
          </w:tcPr>
          <w:p w14:paraId="348BBB2F" w14:textId="5351D013" w:rsidR="0025223D" w:rsidRDefault="00E65EF5" w:rsidP="00DE170D">
            <w:pPr>
              <w:jc w:val="center"/>
            </w:pPr>
            <w:r>
              <w:t>96</w:t>
            </w:r>
          </w:p>
        </w:tc>
        <w:tc>
          <w:tcPr>
            <w:tcW w:w="7290" w:type="dxa"/>
            <w:vMerge/>
          </w:tcPr>
          <w:p w14:paraId="6F98B7E3" w14:textId="77777777" w:rsidR="0025223D" w:rsidRDefault="0025223D"/>
        </w:tc>
      </w:tr>
      <w:tr w:rsidR="0025223D" w14:paraId="15EABF74" w14:textId="77777777" w:rsidTr="00837B92">
        <w:trPr>
          <w:trHeight w:val="386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7A13586B" w14:textId="77777777" w:rsidR="0025223D" w:rsidRDefault="0025223D"/>
        </w:tc>
        <w:tc>
          <w:tcPr>
            <w:tcW w:w="1547" w:type="dxa"/>
            <w:vMerge/>
          </w:tcPr>
          <w:p w14:paraId="53340D10" w14:textId="77777777" w:rsidR="0025223D" w:rsidRDefault="0025223D" w:rsidP="0081217E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EE5F2F6" w14:textId="3BF1485D" w:rsidR="0025223D" w:rsidRDefault="0025223D" w:rsidP="0081217E">
            <w:pPr>
              <w:jc w:val="center"/>
            </w:pPr>
            <w:r>
              <w:t>DAISEY Data</w:t>
            </w:r>
            <w:r w:rsidR="00AF1809">
              <w:t xml:space="preserve"> end of year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6A67A2C" w14:textId="09F29B26" w:rsidR="0025223D" w:rsidRDefault="00E65EF5" w:rsidP="00DE170D">
            <w:pPr>
              <w:jc w:val="center"/>
            </w:pPr>
            <w:r>
              <w:t>DAISEY Data</w:t>
            </w:r>
            <w:r w:rsidR="00AF1809">
              <w:t xml:space="preserve"> end of year</w:t>
            </w:r>
          </w:p>
        </w:tc>
        <w:tc>
          <w:tcPr>
            <w:tcW w:w="7290" w:type="dxa"/>
            <w:vMerge/>
          </w:tcPr>
          <w:p w14:paraId="5BA9A34E" w14:textId="77777777" w:rsidR="0025223D" w:rsidRDefault="0025223D"/>
        </w:tc>
      </w:tr>
      <w:tr w:rsidR="0025223D" w14:paraId="438509FC" w14:textId="77777777" w:rsidTr="00837B92">
        <w:trPr>
          <w:trHeight w:val="606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39BCA0D3" w14:textId="77777777" w:rsidR="0025223D" w:rsidRDefault="0025223D"/>
        </w:tc>
        <w:tc>
          <w:tcPr>
            <w:tcW w:w="1547" w:type="dxa"/>
            <w:vMerge/>
          </w:tcPr>
          <w:p w14:paraId="14729C04" w14:textId="77777777" w:rsidR="0025223D" w:rsidRDefault="0025223D" w:rsidP="0081217E">
            <w:pPr>
              <w:jc w:val="center"/>
            </w:pPr>
          </w:p>
        </w:tc>
        <w:tc>
          <w:tcPr>
            <w:tcW w:w="1620" w:type="dxa"/>
          </w:tcPr>
          <w:p w14:paraId="0BD8055F" w14:textId="57405364" w:rsidR="0025223D" w:rsidRDefault="0025223D" w:rsidP="0081217E">
            <w:pPr>
              <w:jc w:val="center"/>
            </w:pPr>
            <w:r>
              <w:t>48</w:t>
            </w:r>
          </w:p>
        </w:tc>
        <w:tc>
          <w:tcPr>
            <w:tcW w:w="1350" w:type="dxa"/>
          </w:tcPr>
          <w:p w14:paraId="7952BEA9" w14:textId="004F3A5F" w:rsidR="0025223D" w:rsidRDefault="00CF550B" w:rsidP="00DE170D">
            <w:pPr>
              <w:jc w:val="center"/>
            </w:pPr>
            <w:r>
              <w:t>385</w:t>
            </w:r>
          </w:p>
        </w:tc>
        <w:tc>
          <w:tcPr>
            <w:tcW w:w="7290" w:type="dxa"/>
            <w:vMerge/>
          </w:tcPr>
          <w:p w14:paraId="76695F97" w14:textId="77777777" w:rsidR="0025223D" w:rsidRDefault="0025223D"/>
        </w:tc>
      </w:tr>
      <w:tr w:rsidR="0025223D" w14:paraId="0B5F1425" w14:textId="62636D05" w:rsidTr="00837B92">
        <w:trPr>
          <w:trHeight w:val="540"/>
        </w:trPr>
        <w:tc>
          <w:tcPr>
            <w:tcW w:w="1328" w:type="dxa"/>
            <w:vMerge w:val="restart"/>
            <w:shd w:val="clear" w:color="auto" w:fill="F2F2F2" w:themeFill="background1" w:themeFillShade="F2"/>
          </w:tcPr>
          <w:p w14:paraId="63A2AD1B" w14:textId="0E3AB5C5" w:rsidR="0025223D" w:rsidRDefault="0025223D">
            <w:r>
              <w:t>Sac</w:t>
            </w:r>
          </w:p>
        </w:tc>
        <w:tc>
          <w:tcPr>
            <w:tcW w:w="1547" w:type="dxa"/>
            <w:vMerge w:val="restart"/>
          </w:tcPr>
          <w:p w14:paraId="72D7CA42" w14:textId="721EB88A" w:rsidR="0025223D" w:rsidRDefault="0025223D" w:rsidP="0081217E">
            <w:pPr>
              <w:jc w:val="center"/>
            </w:pPr>
            <w:r>
              <w:t>23.7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B7743EE" w14:textId="6B49983E" w:rsidR="0025223D" w:rsidRDefault="0025223D" w:rsidP="0081217E">
            <w:pPr>
              <w:jc w:val="center"/>
            </w:pPr>
            <w:r>
              <w:t>¼ report yearly average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FA842B1" w14:textId="1CFE9533" w:rsidR="0025223D" w:rsidRDefault="00142E9F" w:rsidP="00DE170D">
            <w:pPr>
              <w:jc w:val="center"/>
            </w:pPr>
            <w:r>
              <w:t>Average per 1/4</w:t>
            </w:r>
          </w:p>
        </w:tc>
        <w:tc>
          <w:tcPr>
            <w:tcW w:w="7290" w:type="dxa"/>
            <w:vMerge w:val="restart"/>
          </w:tcPr>
          <w:p w14:paraId="29304920" w14:textId="11EB90C7" w:rsidR="0025223D" w:rsidRDefault="00147426">
            <w:r>
              <w:t>One (</w:t>
            </w:r>
            <w:r w:rsidR="0025223D">
              <w:t>1</w:t>
            </w:r>
            <w:r>
              <w:t>)</w:t>
            </w:r>
            <w:r w:rsidR="0025223D">
              <w:t xml:space="preserve"> full time FSP dedicated to STEPS.</w:t>
            </w:r>
          </w:p>
          <w:p w14:paraId="7D15C15B" w14:textId="77777777" w:rsidR="0025223D" w:rsidRDefault="0025223D"/>
          <w:p w14:paraId="529BC5E7" w14:textId="77777777" w:rsidR="0025223D" w:rsidRDefault="0025223D" w:rsidP="007B2E0C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B2E0C">
              <w:rPr>
                <w:rFonts w:ascii="Garamond" w:hAnsi="Garamond"/>
                <w:bCs/>
                <w:sz w:val="24"/>
                <w:szCs w:val="24"/>
              </w:rPr>
              <w:t xml:space="preserve">Seek to employ direct service staff to provide a total of </w:t>
            </w:r>
            <w:r w:rsidRPr="007B2E0C">
              <w:rPr>
                <w:rFonts w:ascii="Garamond" w:hAnsi="Garamond"/>
                <w:bCs/>
                <w:sz w:val="24"/>
                <w:szCs w:val="24"/>
                <w:u w:val="single"/>
              </w:rPr>
              <w:t>40</w:t>
            </w:r>
            <w:r w:rsidRPr="007B2E0C">
              <w:rPr>
                <w:rFonts w:ascii="Garamond" w:hAnsi="Garamond"/>
                <w:bCs/>
                <w:sz w:val="24"/>
                <w:szCs w:val="24"/>
              </w:rPr>
              <w:t xml:space="preserve"> hours per week dedicated to Family STEPS services. </w:t>
            </w:r>
          </w:p>
          <w:p w14:paraId="4727315C" w14:textId="77777777" w:rsidR="0025223D" w:rsidRDefault="0025223D">
            <w:pPr>
              <w:rPr>
                <w:rFonts w:ascii="Garamond" w:hAnsi="Garamond"/>
                <w:bCs/>
                <w:sz w:val="24"/>
                <w:szCs w:val="24"/>
              </w:rPr>
            </w:pPr>
            <w:bookmarkStart w:id="1" w:name="_Hlk135744353"/>
            <w:r w:rsidRPr="0088204F">
              <w:rPr>
                <w:rFonts w:ascii="Garamond" w:hAnsi="Garamond"/>
                <w:bCs/>
                <w:sz w:val="24"/>
                <w:szCs w:val="24"/>
              </w:rPr>
              <w:t xml:space="preserve">Shall seek to maintain a planned family service capacity of </w:t>
            </w:r>
            <w:r w:rsidRPr="0088204F">
              <w:rPr>
                <w:rFonts w:ascii="Garamond" w:hAnsi="Garamond"/>
                <w:bCs/>
                <w:sz w:val="24"/>
                <w:szCs w:val="24"/>
                <w:u w:val="single"/>
              </w:rPr>
              <w:t>20</w:t>
            </w:r>
            <w:r w:rsidRPr="0088204F">
              <w:rPr>
                <w:rFonts w:ascii="Garamond" w:hAnsi="Garamond"/>
                <w:bCs/>
                <w:sz w:val="24"/>
                <w:szCs w:val="24"/>
              </w:rPr>
              <w:t xml:space="preserve"> families the program will serve at any given time. </w:t>
            </w:r>
            <w:bookmarkEnd w:id="1"/>
          </w:p>
          <w:p w14:paraId="0975E857" w14:textId="57AC4762" w:rsidR="0025223D" w:rsidRPr="0088204F" w:rsidRDefault="0025223D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57B68">
              <w:rPr>
                <w:rFonts w:ascii="Garamond" w:hAnsi="Garamond"/>
                <w:bCs/>
                <w:sz w:val="24"/>
                <w:szCs w:val="24"/>
              </w:rPr>
              <w:t xml:space="preserve">Shall seek to have a minimum number of </w:t>
            </w:r>
            <w:r w:rsidRPr="00757B68">
              <w:rPr>
                <w:rFonts w:ascii="Garamond" w:hAnsi="Garamond"/>
                <w:bCs/>
                <w:sz w:val="24"/>
                <w:szCs w:val="24"/>
                <w:u w:val="single"/>
              </w:rPr>
              <w:t>80</w:t>
            </w:r>
            <w:r w:rsidRPr="00757B68">
              <w:rPr>
                <w:rFonts w:ascii="Garamond" w:hAnsi="Garamond"/>
                <w:bCs/>
                <w:sz w:val="24"/>
                <w:szCs w:val="24"/>
              </w:rPr>
              <w:t xml:space="preserve"> home visits completed each quarter.</w:t>
            </w:r>
          </w:p>
        </w:tc>
      </w:tr>
      <w:tr w:rsidR="0025223D" w14:paraId="67BAB0C1" w14:textId="77777777" w:rsidTr="00837B92">
        <w:trPr>
          <w:trHeight w:val="540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1C5B940F" w14:textId="77777777" w:rsidR="0025223D" w:rsidRDefault="0025223D"/>
        </w:tc>
        <w:tc>
          <w:tcPr>
            <w:tcW w:w="1547" w:type="dxa"/>
            <w:vMerge/>
          </w:tcPr>
          <w:p w14:paraId="004BCF95" w14:textId="77777777" w:rsidR="0025223D" w:rsidRDefault="0025223D" w:rsidP="0081217E">
            <w:pPr>
              <w:jc w:val="center"/>
            </w:pPr>
          </w:p>
        </w:tc>
        <w:tc>
          <w:tcPr>
            <w:tcW w:w="1620" w:type="dxa"/>
          </w:tcPr>
          <w:p w14:paraId="77672938" w14:textId="2A7DEB5E" w:rsidR="0025223D" w:rsidRDefault="0025223D" w:rsidP="0081217E">
            <w:pPr>
              <w:jc w:val="center"/>
            </w:pPr>
            <w:r>
              <w:t>19.3</w:t>
            </w:r>
          </w:p>
        </w:tc>
        <w:tc>
          <w:tcPr>
            <w:tcW w:w="1350" w:type="dxa"/>
          </w:tcPr>
          <w:p w14:paraId="4BA53BFC" w14:textId="18AAA387" w:rsidR="0025223D" w:rsidRDefault="00D74C60" w:rsidP="00DE170D">
            <w:pPr>
              <w:jc w:val="center"/>
            </w:pPr>
            <w:r>
              <w:t>94</w:t>
            </w:r>
          </w:p>
        </w:tc>
        <w:tc>
          <w:tcPr>
            <w:tcW w:w="7290" w:type="dxa"/>
            <w:vMerge/>
          </w:tcPr>
          <w:p w14:paraId="1CFB1754" w14:textId="77777777" w:rsidR="0025223D" w:rsidRDefault="0025223D"/>
        </w:tc>
      </w:tr>
      <w:tr w:rsidR="0025223D" w14:paraId="402CFF6F" w14:textId="77777777" w:rsidTr="00837B92">
        <w:trPr>
          <w:trHeight w:val="422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29E26719" w14:textId="77777777" w:rsidR="0025223D" w:rsidRDefault="0025223D"/>
        </w:tc>
        <w:tc>
          <w:tcPr>
            <w:tcW w:w="1547" w:type="dxa"/>
            <w:vMerge/>
          </w:tcPr>
          <w:p w14:paraId="6D99EA5E" w14:textId="77777777" w:rsidR="0025223D" w:rsidRDefault="0025223D" w:rsidP="0081217E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44C11282" w14:textId="2D696D36" w:rsidR="0025223D" w:rsidRDefault="0025223D" w:rsidP="0081217E">
            <w:pPr>
              <w:jc w:val="center"/>
            </w:pPr>
            <w:r>
              <w:t>DAISEY D</w:t>
            </w:r>
            <w:r w:rsidR="00D74C60">
              <w:t>ata</w:t>
            </w:r>
            <w:r w:rsidR="00F91C30">
              <w:t xml:space="preserve"> end of year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DEFD088" w14:textId="5BEDD120" w:rsidR="0025223D" w:rsidRDefault="00D74C60" w:rsidP="00DE170D">
            <w:pPr>
              <w:jc w:val="center"/>
            </w:pPr>
            <w:r>
              <w:t>DAISEY Data</w:t>
            </w:r>
            <w:r w:rsidR="00F91C30">
              <w:t xml:space="preserve"> end of year</w:t>
            </w:r>
          </w:p>
        </w:tc>
        <w:tc>
          <w:tcPr>
            <w:tcW w:w="7290" w:type="dxa"/>
            <w:vMerge/>
          </w:tcPr>
          <w:p w14:paraId="341FB9F0" w14:textId="77777777" w:rsidR="0025223D" w:rsidRDefault="0025223D"/>
        </w:tc>
      </w:tr>
      <w:tr w:rsidR="0025223D" w14:paraId="5C58582E" w14:textId="77777777" w:rsidTr="00837B92">
        <w:trPr>
          <w:trHeight w:val="540"/>
        </w:trPr>
        <w:tc>
          <w:tcPr>
            <w:tcW w:w="1328" w:type="dxa"/>
            <w:vMerge/>
            <w:shd w:val="clear" w:color="auto" w:fill="F2F2F2" w:themeFill="background1" w:themeFillShade="F2"/>
          </w:tcPr>
          <w:p w14:paraId="08F1CB0C" w14:textId="77777777" w:rsidR="0025223D" w:rsidRDefault="0025223D"/>
        </w:tc>
        <w:tc>
          <w:tcPr>
            <w:tcW w:w="1547" w:type="dxa"/>
            <w:vMerge/>
          </w:tcPr>
          <w:p w14:paraId="3F074342" w14:textId="77777777" w:rsidR="0025223D" w:rsidRDefault="0025223D" w:rsidP="0081217E">
            <w:pPr>
              <w:jc w:val="center"/>
            </w:pPr>
          </w:p>
        </w:tc>
        <w:tc>
          <w:tcPr>
            <w:tcW w:w="1620" w:type="dxa"/>
          </w:tcPr>
          <w:p w14:paraId="14AC01C9" w14:textId="03CA50E9" w:rsidR="0025223D" w:rsidRDefault="0025223D" w:rsidP="0081217E">
            <w:pPr>
              <w:jc w:val="center"/>
            </w:pPr>
            <w:r>
              <w:t>31</w:t>
            </w:r>
          </w:p>
        </w:tc>
        <w:tc>
          <w:tcPr>
            <w:tcW w:w="1350" w:type="dxa"/>
          </w:tcPr>
          <w:p w14:paraId="25CD4873" w14:textId="2F5181EE" w:rsidR="0025223D" w:rsidRDefault="00CF550B" w:rsidP="00DE170D">
            <w:pPr>
              <w:jc w:val="center"/>
            </w:pPr>
            <w:r>
              <w:t>376</w:t>
            </w:r>
          </w:p>
        </w:tc>
        <w:tc>
          <w:tcPr>
            <w:tcW w:w="7290" w:type="dxa"/>
            <w:vMerge/>
          </w:tcPr>
          <w:p w14:paraId="4F6121BE" w14:textId="77777777" w:rsidR="0025223D" w:rsidRDefault="0025223D"/>
        </w:tc>
      </w:tr>
    </w:tbl>
    <w:p w14:paraId="6B2B3661" w14:textId="77777777" w:rsidR="00834E1F" w:rsidRDefault="00834E1F"/>
    <w:tbl>
      <w:tblPr>
        <w:tblW w:w="13050" w:type="dxa"/>
        <w:tblLook w:val="04A0" w:firstRow="1" w:lastRow="0" w:firstColumn="1" w:lastColumn="0" w:noHBand="0" w:noVBand="1"/>
      </w:tblPr>
      <w:tblGrid>
        <w:gridCol w:w="1350"/>
        <w:gridCol w:w="720"/>
        <w:gridCol w:w="1170"/>
        <w:gridCol w:w="1042"/>
        <w:gridCol w:w="872"/>
        <w:gridCol w:w="1170"/>
        <w:gridCol w:w="990"/>
        <w:gridCol w:w="991"/>
        <w:gridCol w:w="695"/>
        <w:gridCol w:w="900"/>
        <w:gridCol w:w="1080"/>
        <w:gridCol w:w="900"/>
        <w:gridCol w:w="1170"/>
      </w:tblGrid>
      <w:tr w:rsidR="00062771" w:rsidRPr="00834E1F" w14:paraId="39E3AF8E" w14:textId="77777777" w:rsidTr="001D0392">
        <w:trPr>
          <w:cantSplit/>
          <w:trHeight w:val="1374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41203" w14:textId="77777777" w:rsidR="00834E1F" w:rsidRDefault="005E129E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DAISEY Data</w:t>
            </w:r>
          </w:p>
          <w:p w14:paraId="6F76F5EC" w14:textId="77777777" w:rsidR="009E1E1A" w:rsidRDefault="009E1E1A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74EDDF4" w14:textId="2161B803" w:rsidR="009E1E1A" w:rsidRPr="009E1E1A" w:rsidRDefault="009E1E1A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E1E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Outcomes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</w:tcPr>
          <w:p w14:paraId="2F7E8760" w14:textId="79F0ACBF" w:rsidR="00834E1F" w:rsidRPr="00834E1F" w:rsidRDefault="00834E1F" w:rsidP="00834E1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LSP’ completed</w:t>
            </w:r>
          </w:p>
        </w:tc>
        <w:tc>
          <w:tcPr>
            <w:tcW w:w="2212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7A5A2EB" w14:textId="60942C90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improve or maintain healthy family functioning problem solving and communication</w:t>
            </w:r>
          </w:p>
        </w:tc>
        <w:tc>
          <w:tcPr>
            <w:tcW w:w="204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86803EF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increase or maintain social supports</w:t>
            </w:r>
          </w:p>
        </w:tc>
        <w:tc>
          <w:tcPr>
            <w:tcW w:w="19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BDD9D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are connected to additional concrete supports</w:t>
            </w:r>
          </w:p>
        </w:tc>
        <w:tc>
          <w:tcPr>
            <w:tcW w:w="69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2F2F2"/>
            <w:textDirection w:val="btLr"/>
          </w:tcPr>
          <w:p w14:paraId="359A9FC3" w14:textId="5924DD9B" w:rsidR="00834E1F" w:rsidRPr="00834E1F" w:rsidRDefault="00834E1F" w:rsidP="00834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LSP’ completed</w:t>
            </w:r>
          </w:p>
        </w:tc>
        <w:tc>
          <w:tcPr>
            <w:tcW w:w="198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A219831" w14:textId="6653BD86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improve nurturing &amp; attachment between parent and child</w:t>
            </w:r>
          </w:p>
        </w:tc>
        <w:tc>
          <w:tcPr>
            <w:tcW w:w="20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5D86691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increase knowledge about child development &amp; parenting</w:t>
            </w:r>
          </w:p>
        </w:tc>
      </w:tr>
      <w:tr w:rsidR="001D0392" w:rsidRPr="00834E1F" w14:paraId="7D87B6F2" w14:textId="77777777" w:rsidTr="005812AD">
        <w:trPr>
          <w:trHeight w:val="253"/>
        </w:trPr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68A6E2" w14:textId="77777777" w:rsidR="00834E1F" w:rsidRPr="00834E1F" w:rsidRDefault="00834E1F" w:rsidP="0083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3431841B" w14:textId="77777777" w:rsidR="00834E1F" w:rsidRPr="0081217E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bottom"/>
            <w:hideMark/>
          </w:tcPr>
          <w:p w14:paraId="19D6F4B6" w14:textId="6E725B9D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bottom"/>
            <w:hideMark/>
          </w:tcPr>
          <w:p w14:paraId="66769DF7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Percent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6F97013E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Number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F1792AD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Percent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62A0BC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D1460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Percent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 w:themeFill="background1" w:themeFillShade="F2"/>
          </w:tcPr>
          <w:p w14:paraId="158F3547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0C39D09" w14:textId="07EFCCC4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Number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6C4D44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Percent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bottom"/>
            <w:hideMark/>
          </w:tcPr>
          <w:p w14:paraId="04DD123B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bottom"/>
            <w:hideMark/>
          </w:tcPr>
          <w:p w14:paraId="301123E5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Percent</w:t>
            </w:r>
          </w:p>
        </w:tc>
      </w:tr>
      <w:tr w:rsidR="0081217E" w:rsidRPr="00834E1F" w14:paraId="1F6324AA" w14:textId="77777777" w:rsidTr="00037BFF">
        <w:trPr>
          <w:trHeight w:val="253"/>
        </w:trPr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DF9F9"/>
            <w:noWrap/>
            <w:vAlign w:val="bottom"/>
            <w:hideMark/>
          </w:tcPr>
          <w:p w14:paraId="5A8254B4" w14:textId="0245BF3C" w:rsidR="00834E1F" w:rsidRPr="00834E1F" w:rsidRDefault="00834E1F" w:rsidP="0083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Buena Vista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76A45218" w14:textId="7EA3D8A5" w:rsidR="00834E1F" w:rsidRPr="0081217E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2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54F861B8" w14:textId="6AA5D334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57C9B200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6FBE81E3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7A89E423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020A87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DF9F9"/>
            <w:noWrap/>
            <w:vAlign w:val="bottom"/>
            <w:hideMark/>
          </w:tcPr>
          <w:p w14:paraId="445AA19A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46%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1ABD0FDF" w14:textId="7B072118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63F67280" w14:textId="31FB8F81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00938560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3670646E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F9F9"/>
            <w:noWrap/>
            <w:vAlign w:val="bottom"/>
            <w:hideMark/>
          </w:tcPr>
          <w:p w14:paraId="10C99E6A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38%</w:t>
            </w:r>
          </w:p>
        </w:tc>
      </w:tr>
      <w:tr w:rsidR="0081217E" w:rsidRPr="00834E1F" w14:paraId="48366422" w14:textId="77777777" w:rsidTr="00037BFF">
        <w:trPr>
          <w:trHeight w:val="253"/>
        </w:trPr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4F7FA"/>
            <w:noWrap/>
            <w:vAlign w:val="bottom"/>
            <w:hideMark/>
          </w:tcPr>
          <w:p w14:paraId="39825F0E" w14:textId="77777777" w:rsidR="00834E1F" w:rsidRPr="00834E1F" w:rsidRDefault="00834E1F" w:rsidP="0083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0DA33A7C" w14:textId="62CB8453" w:rsidR="00834E1F" w:rsidRPr="0081217E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2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598578FF" w14:textId="18EE6B9E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707FB177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6DC81278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2F7989B2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4A42E21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4F7FA"/>
            <w:noWrap/>
            <w:vAlign w:val="bottom"/>
            <w:hideMark/>
          </w:tcPr>
          <w:p w14:paraId="098A983C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97%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1A0B753A" w14:textId="02E1662A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24FEED05" w14:textId="6216A6D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62D7ADA2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072D115F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F7FA"/>
            <w:noWrap/>
            <w:vAlign w:val="bottom"/>
            <w:hideMark/>
          </w:tcPr>
          <w:p w14:paraId="6700241B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69%</w:t>
            </w:r>
          </w:p>
        </w:tc>
      </w:tr>
      <w:tr w:rsidR="0081217E" w:rsidRPr="00834E1F" w14:paraId="61204713" w14:textId="77777777" w:rsidTr="00037BFF">
        <w:trPr>
          <w:trHeight w:val="253"/>
        </w:trPr>
        <w:tc>
          <w:tcPr>
            <w:tcW w:w="1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FFFF7"/>
            <w:noWrap/>
            <w:vAlign w:val="bottom"/>
            <w:hideMark/>
          </w:tcPr>
          <w:p w14:paraId="69AC37CD" w14:textId="77777777" w:rsidR="00834E1F" w:rsidRPr="00834E1F" w:rsidRDefault="00834E1F" w:rsidP="0083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834E1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157C4BA0" w14:textId="081E7912" w:rsidR="00834E1F" w:rsidRPr="0081217E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2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0EE5B04E" w14:textId="4A074F5C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1CA96B57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96%</w:t>
            </w:r>
          </w:p>
        </w:tc>
        <w:tc>
          <w:tcPr>
            <w:tcW w:w="872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2A87BBA1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3435CCDB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96%</w:t>
            </w:r>
          </w:p>
        </w:tc>
        <w:tc>
          <w:tcPr>
            <w:tcW w:w="990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F00BE56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triple" w:sz="4" w:space="0" w:color="A6A6A6"/>
              <w:right w:val="single" w:sz="4" w:space="0" w:color="auto"/>
            </w:tcBorders>
            <w:shd w:val="clear" w:color="000000" w:fill="FFFFF7"/>
            <w:noWrap/>
            <w:vAlign w:val="bottom"/>
            <w:hideMark/>
          </w:tcPr>
          <w:p w14:paraId="2A929560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91%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triple" w:sz="4" w:space="0" w:color="A6A6A6"/>
              <w:right w:val="single" w:sz="4" w:space="0" w:color="auto"/>
            </w:tcBorders>
            <w:shd w:val="clear" w:color="auto" w:fill="E7E6E6" w:themeFill="background2"/>
          </w:tcPr>
          <w:p w14:paraId="544404D4" w14:textId="5E1A04FD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54795D30" w14:textId="449CF3DB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4EF8E80F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65%</w:t>
            </w:r>
          </w:p>
        </w:tc>
        <w:tc>
          <w:tcPr>
            <w:tcW w:w="900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3DEB5753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triple" w:sz="4" w:space="0" w:color="A6A6A6"/>
              <w:right w:val="single" w:sz="4" w:space="0" w:color="A6A6A6"/>
            </w:tcBorders>
            <w:shd w:val="clear" w:color="000000" w:fill="FFFFF7"/>
            <w:noWrap/>
            <w:vAlign w:val="bottom"/>
            <w:hideMark/>
          </w:tcPr>
          <w:p w14:paraId="0881D6C2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65%</w:t>
            </w:r>
          </w:p>
        </w:tc>
      </w:tr>
      <w:tr w:rsidR="001D0392" w:rsidRPr="00834E1F" w14:paraId="76E304FA" w14:textId="77777777" w:rsidTr="005812AD">
        <w:trPr>
          <w:trHeight w:val="264"/>
        </w:trPr>
        <w:tc>
          <w:tcPr>
            <w:tcW w:w="1350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752E2C" w14:textId="49F1571E" w:rsidR="00834E1F" w:rsidRPr="00834E1F" w:rsidRDefault="00037BFF" w:rsidP="0083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3 Co. </w:t>
            </w:r>
            <w:r w:rsidR="00834E1F" w:rsidRPr="00834E1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720" w:type="dxa"/>
            <w:tcBorders>
              <w:top w:val="triple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6343A01" w14:textId="17AD13D1" w:rsidR="00834E1F" w:rsidRPr="0081217E" w:rsidRDefault="00062771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2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170" w:type="dxa"/>
            <w:tcBorders>
              <w:top w:val="triple" w:sz="4" w:space="0" w:color="A6A6A6"/>
              <w:left w:val="single" w:sz="4" w:space="0" w:color="auto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79068F" w14:textId="4DE3C61E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042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14:paraId="45FD54BF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93%</w:t>
            </w:r>
          </w:p>
        </w:tc>
        <w:tc>
          <w:tcPr>
            <w:tcW w:w="872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2A8F117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170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2F2F2"/>
            <w:noWrap/>
            <w:vAlign w:val="bottom"/>
            <w:hideMark/>
          </w:tcPr>
          <w:p w14:paraId="4635C0B1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81%</w:t>
            </w:r>
          </w:p>
        </w:tc>
        <w:tc>
          <w:tcPr>
            <w:tcW w:w="990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2E2F21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91" w:type="dxa"/>
            <w:tcBorders>
              <w:top w:val="triple" w:sz="4" w:space="0" w:color="A6A6A6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D2BCE2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86%</w:t>
            </w:r>
          </w:p>
        </w:tc>
        <w:tc>
          <w:tcPr>
            <w:tcW w:w="695" w:type="dxa"/>
            <w:tcBorders>
              <w:top w:val="triple" w:sz="4" w:space="0" w:color="A6A6A6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A332E5" w14:textId="0FEDC422" w:rsidR="00834E1F" w:rsidRPr="00834E1F" w:rsidRDefault="00062771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00" w:type="dxa"/>
            <w:tcBorders>
              <w:top w:val="triple" w:sz="4" w:space="0" w:color="A6A6A6"/>
              <w:left w:val="single" w:sz="4" w:space="0" w:color="auto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CA51745" w14:textId="4E47B979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080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47AA4DC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57%</w:t>
            </w:r>
          </w:p>
        </w:tc>
        <w:tc>
          <w:tcPr>
            <w:tcW w:w="900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1349E3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170" w:type="dxa"/>
            <w:tcBorders>
              <w:top w:val="trip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F066B9F" w14:textId="77777777" w:rsidR="00834E1F" w:rsidRPr="00834E1F" w:rsidRDefault="00834E1F" w:rsidP="0083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4E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57%</w:t>
            </w:r>
          </w:p>
        </w:tc>
      </w:tr>
      <w:tr w:rsidR="00F8092C" w:rsidRPr="00834E1F" w14:paraId="107ECC25" w14:textId="77777777" w:rsidTr="00002BEC">
        <w:trPr>
          <w:trHeight w:val="264"/>
        </w:trPr>
        <w:tc>
          <w:tcPr>
            <w:tcW w:w="13050" w:type="dxa"/>
            <w:gridSpan w:val="13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A6359F5" w14:textId="42335C30" w:rsidR="00F8092C" w:rsidRPr="00834E1F" w:rsidRDefault="00F8092C" w:rsidP="00F809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Comment: </w:t>
            </w:r>
            <w:r w:rsidR="00F761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BV County number of LSP completed for social</w:t>
            </w:r>
            <w:r w:rsidR="007B0A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&amp;</w:t>
            </w:r>
            <w:r w:rsidR="001D039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F761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concrete supports</w:t>
            </w:r>
            <w:r w:rsidR="007B0A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attachment and development</w:t>
            </w:r>
            <w:r w:rsidR="00F761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are </w:t>
            </w:r>
            <w:r w:rsidR="00BD1F7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 than half possible bringing the percentage down.</w:t>
            </w:r>
            <w:r w:rsidR="004133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6049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 &amp; Sac</w:t>
            </w:r>
            <w:r w:rsidR="004133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percentages are consisten</w:t>
            </w:r>
            <w:r w:rsidR="001D039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t. </w:t>
            </w:r>
          </w:p>
        </w:tc>
      </w:tr>
    </w:tbl>
    <w:p w14:paraId="60E7C8EC" w14:textId="77777777" w:rsidR="00834E1F" w:rsidRDefault="00834E1F"/>
    <w:sectPr w:rsidR="00834E1F" w:rsidSect="002244EF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53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62428A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8B2479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D742F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87F6E35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7F4C6AA2"/>
    <w:multiLevelType w:val="hybridMultilevel"/>
    <w:tmpl w:val="81CA8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num w:numId="1" w16cid:durableId="1726489221">
    <w:abstractNumId w:val="4"/>
  </w:num>
  <w:num w:numId="2" w16cid:durableId="245112841">
    <w:abstractNumId w:val="5"/>
  </w:num>
  <w:num w:numId="3" w16cid:durableId="1383671380">
    <w:abstractNumId w:val="2"/>
  </w:num>
  <w:num w:numId="4" w16cid:durableId="1169949410">
    <w:abstractNumId w:val="1"/>
  </w:num>
  <w:num w:numId="5" w16cid:durableId="414862049">
    <w:abstractNumId w:val="0"/>
  </w:num>
  <w:num w:numId="6" w16cid:durableId="171935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1F"/>
    <w:rsid w:val="00006C7B"/>
    <w:rsid w:val="00011621"/>
    <w:rsid w:val="00037BFF"/>
    <w:rsid w:val="00050468"/>
    <w:rsid w:val="00062771"/>
    <w:rsid w:val="000B1A4D"/>
    <w:rsid w:val="000B6AC2"/>
    <w:rsid w:val="000C49E0"/>
    <w:rsid w:val="00142E9F"/>
    <w:rsid w:val="00147426"/>
    <w:rsid w:val="00184D97"/>
    <w:rsid w:val="001928F9"/>
    <w:rsid w:val="001C18B8"/>
    <w:rsid w:val="001D0392"/>
    <w:rsid w:val="00216F46"/>
    <w:rsid w:val="002244EF"/>
    <w:rsid w:val="0025223D"/>
    <w:rsid w:val="00297453"/>
    <w:rsid w:val="002A43A9"/>
    <w:rsid w:val="002A5217"/>
    <w:rsid w:val="00345A09"/>
    <w:rsid w:val="004133A7"/>
    <w:rsid w:val="0047227E"/>
    <w:rsid w:val="00474146"/>
    <w:rsid w:val="004D4809"/>
    <w:rsid w:val="004F2B28"/>
    <w:rsid w:val="005812AD"/>
    <w:rsid w:val="005E129E"/>
    <w:rsid w:val="006049E3"/>
    <w:rsid w:val="0067348F"/>
    <w:rsid w:val="00697CEB"/>
    <w:rsid w:val="006B3F4A"/>
    <w:rsid w:val="006E27B7"/>
    <w:rsid w:val="006E4D94"/>
    <w:rsid w:val="0070052E"/>
    <w:rsid w:val="007066FA"/>
    <w:rsid w:val="00775459"/>
    <w:rsid w:val="007B0A33"/>
    <w:rsid w:val="007B2E0C"/>
    <w:rsid w:val="007C49D5"/>
    <w:rsid w:val="007D08BF"/>
    <w:rsid w:val="0081018D"/>
    <w:rsid w:val="0081217E"/>
    <w:rsid w:val="00834E1F"/>
    <w:rsid w:val="00837B92"/>
    <w:rsid w:val="00873DBF"/>
    <w:rsid w:val="0088204F"/>
    <w:rsid w:val="008A6675"/>
    <w:rsid w:val="008C6DF6"/>
    <w:rsid w:val="008D238E"/>
    <w:rsid w:val="008F646F"/>
    <w:rsid w:val="0091590B"/>
    <w:rsid w:val="00960F41"/>
    <w:rsid w:val="00980452"/>
    <w:rsid w:val="009A2DA1"/>
    <w:rsid w:val="009C54C8"/>
    <w:rsid w:val="009E1E1A"/>
    <w:rsid w:val="00A075B0"/>
    <w:rsid w:val="00A43638"/>
    <w:rsid w:val="00AD0F3B"/>
    <w:rsid w:val="00AF1809"/>
    <w:rsid w:val="00B22112"/>
    <w:rsid w:val="00B90EE4"/>
    <w:rsid w:val="00BB52D7"/>
    <w:rsid w:val="00BD1F77"/>
    <w:rsid w:val="00C47644"/>
    <w:rsid w:val="00C8656E"/>
    <w:rsid w:val="00CA0CE7"/>
    <w:rsid w:val="00CF550B"/>
    <w:rsid w:val="00CF6CE6"/>
    <w:rsid w:val="00D31BF9"/>
    <w:rsid w:val="00D74C60"/>
    <w:rsid w:val="00DB133F"/>
    <w:rsid w:val="00DE170D"/>
    <w:rsid w:val="00E47FAF"/>
    <w:rsid w:val="00E65EF5"/>
    <w:rsid w:val="00EC7BAC"/>
    <w:rsid w:val="00EE48EA"/>
    <w:rsid w:val="00EF6052"/>
    <w:rsid w:val="00F5118B"/>
    <w:rsid w:val="00F62C9E"/>
    <w:rsid w:val="00F76168"/>
    <w:rsid w:val="00F76D8E"/>
    <w:rsid w:val="00F8092C"/>
    <w:rsid w:val="00F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5C9C"/>
  <w15:chartTrackingRefBased/>
  <w15:docId w15:val="{9EE4C9FE-3816-4F51-98F7-41A7C32E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18B"/>
    <w:pPr>
      <w:spacing w:after="200" w:line="276" w:lineRule="auto"/>
      <w:ind w:left="720"/>
      <w:contextualSpacing/>
    </w:pPr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Koster</dc:creator>
  <cp:keywords/>
  <dc:description/>
  <cp:lastModifiedBy>Annette Koster</cp:lastModifiedBy>
  <cp:revision>2</cp:revision>
  <dcterms:created xsi:type="dcterms:W3CDTF">2023-09-27T14:24:00Z</dcterms:created>
  <dcterms:modified xsi:type="dcterms:W3CDTF">2023-09-27T14:24:00Z</dcterms:modified>
</cp:coreProperties>
</file>